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2B8D7" w14:textId="77777777" w:rsidR="003D5060" w:rsidRDefault="003D5060" w:rsidP="003D5060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20D505" w14:textId="1947F084" w:rsidR="003D5060" w:rsidRPr="003D5060" w:rsidRDefault="003D5060" w:rsidP="003D5060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b/>
          <w:bCs/>
          <w:color w:val="000000"/>
          <w:sz w:val="24"/>
          <w:szCs w:val="24"/>
        </w:rPr>
        <w:t>Regulamin praktyk nagłośnieniowych na kierunku reżyseria dźwięku</w:t>
      </w:r>
    </w:p>
    <w:p w14:paraId="66D4EC4D" w14:textId="77777777" w:rsidR="003D5060" w:rsidRDefault="003D5060" w:rsidP="003D506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398F7A8" w14:textId="2051EABE" w:rsidR="003D5060" w:rsidRPr="003D5060" w:rsidRDefault="003D5060" w:rsidP="003D506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 xml:space="preserve">Student może przystąpić do praktyk po uzyskaniu zaliczenia z Technologii Realizacji Dźwięku. </w:t>
      </w:r>
    </w:p>
    <w:p w14:paraId="2E61D5E1" w14:textId="0806F327" w:rsidR="003D5060" w:rsidRDefault="003D5060" w:rsidP="003D506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>Student może realizować praktyki w: firmach zajmujących się obsługą dźwiękową koncertów i wydarzeń plenerowych, operach, teatrach i</w:t>
      </w:r>
      <w:r w:rsidR="000A4773">
        <w:rPr>
          <w:rFonts w:ascii="Arial" w:hAnsi="Arial" w:cs="Arial"/>
          <w:color w:val="000000"/>
          <w:sz w:val="24"/>
          <w:szCs w:val="24"/>
        </w:rPr>
        <w:t> </w:t>
      </w:r>
      <w:r w:rsidRPr="003D5060">
        <w:rPr>
          <w:rFonts w:ascii="Arial" w:hAnsi="Arial" w:cs="Arial"/>
          <w:color w:val="000000"/>
          <w:sz w:val="24"/>
          <w:szCs w:val="24"/>
        </w:rPr>
        <w:t xml:space="preserve">filharmoniach, domach kultury oraz innych jednostkach zajmujących się organizacją wydarzeń wymagających realizacji dźwięku live. </w:t>
      </w:r>
    </w:p>
    <w:p w14:paraId="6A91BE7F" w14:textId="6CD69E23" w:rsidR="003D5060" w:rsidRPr="003D5060" w:rsidRDefault="003D5060" w:rsidP="003D506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>Praktyki obejmują następujący zakres:</w:t>
      </w:r>
    </w:p>
    <w:p w14:paraId="7A56D726" w14:textId="77319965" w:rsidR="003D5060" w:rsidRPr="003D5060" w:rsidRDefault="003D5060" w:rsidP="003D5060">
      <w:pPr>
        <w:numPr>
          <w:ilvl w:val="1"/>
          <w:numId w:val="4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 xml:space="preserve">rozmieszczenie poszczególnych elementów systemów nagłośnieniowych, specyfika ich pracy i konfiguracji w zależności od nagłaśnianego pomieszczenia i przestrzeni, </w:t>
      </w:r>
    </w:p>
    <w:p w14:paraId="7088D8C5" w14:textId="7DBDBB59" w:rsidR="003D5060" w:rsidRPr="003D5060" w:rsidRDefault="003D5060" w:rsidP="003D5060">
      <w:pPr>
        <w:numPr>
          <w:ilvl w:val="1"/>
          <w:numId w:val="4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 xml:space="preserve">systemy monitorowe, w tym odsłuchy douszne, specyfika miksowania na potrzeby odsłuchów, mechanizmy zabezpieczania systemów przed sprzężeniem zwrotnym i ochrony słuchu w systemach dousznych, </w:t>
      </w:r>
    </w:p>
    <w:p w14:paraId="4CF0E318" w14:textId="2851F733" w:rsidR="003D5060" w:rsidRPr="003D5060" w:rsidRDefault="003D5060" w:rsidP="003D5060">
      <w:pPr>
        <w:numPr>
          <w:ilvl w:val="1"/>
          <w:numId w:val="4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 xml:space="preserve">instalacja elektryczna systemów nagłośnieniowych, połączenia zasilające i sygnałowe, sposoby uziemienia, zabezpieczenia przed przepięciami, </w:t>
      </w:r>
    </w:p>
    <w:p w14:paraId="5044EE5A" w14:textId="1539989A" w:rsidR="003D5060" w:rsidRPr="003D5060" w:rsidRDefault="003D5060" w:rsidP="003D5060">
      <w:pPr>
        <w:numPr>
          <w:ilvl w:val="1"/>
          <w:numId w:val="4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 xml:space="preserve">konsolety mikserskie i urządzenia peryferyjne, ich konfiguracja, sposoby obsługi mikserów cyfrowych z uwzględnieniem pracy cyfrowych procesorów sygnałowych (DSP, obsługa wtyczek), standardy połączeń między urządzeniami – w tym MADI/DANTE, </w:t>
      </w:r>
    </w:p>
    <w:p w14:paraId="7F78DC57" w14:textId="3CABBFA7" w:rsidR="003D5060" w:rsidRPr="003D5060" w:rsidRDefault="003D5060" w:rsidP="003D5060">
      <w:pPr>
        <w:numPr>
          <w:ilvl w:val="1"/>
          <w:numId w:val="4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 xml:space="preserve">pomiary, narzędzia pomiarowe i predykcyjne, strojenie systemu nagłaśniającego w nagłaśnianym pomieszczeniu, programy komputerowe do przewidywania pokrycia dźwiękiem nagłaśnianej przestrzeni, </w:t>
      </w:r>
    </w:p>
    <w:p w14:paraId="5AA9FA27" w14:textId="7A19A9BB" w:rsidR="003D5060" w:rsidRPr="003D5060" w:rsidRDefault="003D5060" w:rsidP="003D5060">
      <w:pPr>
        <w:numPr>
          <w:ilvl w:val="1"/>
          <w:numId w:val="4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 xml:space="preserve">zawieszanie systemów i ich skierowanie względem audytorium, sposoby rozstawiania głośników subbasowych, </w:t>
      </w:r>
    </w:p>
    <w:p w14:paraId="45EE9072" w14:textId="6D537E29" w:rsidR="003D5060" w:rsidRPr="003D5060" w:rsidRDefault="003D5060" w:rsidP="003D5060">
      <w:pPr>
        <w:numPr>
          <w:ilvl w:val="1"/>
          <w:numId w:val="4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 xml:space="preserve">konfiguracja systemów bezprzewodowych i anten, </w:t>
      </w:r>
      <w:proofErr w:type="spellStart"/>
      <w:r w:rsidRPr="003D5060">
        <w:rPr>
          <w:rFonts w:ascii="Arial" w:hAnsi="Arial" w:cs="Arial"/>
          <w:color w:val="000000"/>
          <w:sz w:val="24"/>
          <w:szCs w:val="24"/>
        </w:rPr>
        <w:t>skanning</w:t>
      </w:r>
      <w:proofErr w:type="spellEnd"/>
      <w:r w:rsidRPr="003D5060">
        <w:rPr>
          <w:rFonts w:ascii="Arial" w:hAnsi="Arial" w:cs="Arial"/>
          <w:color w:val="000000"/>
          <w:sz w:val="24"/>
          <w:szCs w:val="24"/>
        </w:rPr>
        <w:t xml:space="preserve"> dostępnych pasm, kwestie prawne </w:t>
      </w:r>
    </w:p>
    <w:p w14:paraId="6C283CEE" w14:textId="40BBA202" w:rsidR="003D5060" w:rsidRPr="003D5060" w:rsidRDefault="003D5060" w:rsidP="003D5060">
      <w:pPr>
        <w:numPr>
          <w:ilvl w:val="1"/>
          <w:numId w:val="4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 xml:space="preserve"> zagadnienia BHP </w:t>
      </w:r>
    </w:p>
    <w:p w14:paraId="5EB6564B" w14:textId="77777777" w:rsidR="003D5060" w:rsidRPr="003D5060" w:rsidRDefault="003D5060" w:rsidP="003D506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14196160" w14:textId="225402DA" w:rsidR="003D5060" w:rsidRPr="003D5060" w:rsidRDefault="003D5060" w:rsidP="003D506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 xml:space="preserve">Ze względu na specyfikę pracy różnych firm nagłośnieniowych, dopuszcza się możliwość rozbudowania/zmiany niektórych punktów programu wymienionych w punkcie 3, w zależności od możliwości sprzętowych radia. Zmiany takie wymagają zgody opiekuna praktyk ze strony Katedry Akustyki wydanej przed rozpoczęciem praktyk. </w:t>
      </w:r>
    </w:p>
    <w:p w14:paraId="3DBEE879" w14:textId="77777777" w:rsidR="003D5060" w:rsidRDefault="003D5060" w:rsidP="003D506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 xml:space="preserve">Obowiązkiem studenta w czasie praktyk jest: </w:t>
      </w:r>
    </w:p>
    <w:p w14:paraId="1070B697" w14:textId="36422CFA" w:rsidR="003D5060" w:rsidRDefault="003D5060" w:rsidP="003D506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>wykonywanie poleceń opiekuna praktyk,</w:t>
      </w:r>
    </w:p>
    <w:p w14:paraId="600F6F37" w14:textId="3676DBE9" w:rsidR="003D5060" w:rsidRPr="003D5060" w:rsidRDefault="003D5060" w:rsidP="003D506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 xml:space="preserve">prowadzenie dzienniczka praktyk, </w:t>
      </w:r>
    </w:p>
    <w:p w14:paraId="4B2A7648" w14:textId="1DD8D9C1" w:rsidR="003D5060" w:rsidRPr="003D5060" w:rsidRDefault="003D5060" w:rsidP="003D506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 xml:space="preserve">przestrzeganie zasad BHP, </w:t>
      </w:r>
    </w:p>
    <w:p w14:paraId="3708982D" w14:textId="2F6B2F9B" w:rsidR="003D5060" w:rsidRPr="003D5060" w:rsidRDefault="003D5060" w:rsidP="003D506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lastRenderedPageBreak/>
        <w:t>odbycie regulaminowych godzin praktyk</w:t>
      </w:r>
    </w:p>
    <w:p w14:paraId="4D2750B9" w14:textId="2B078CF3" w:rsidR="003D5060" w:rsidRDefault="003D5060" w:rsidP="003D506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 xml:space="preserve">Dzienniczek praktyk powinien mieć formę tabelaryczną i zawierać: </w:t>
      </w:r>
    </w:p>
    <w:p w14:paraId="7720E229" w14:textId="77777777" w:rsidR="003D5060" w:rsidRPr="003D5060" w:rsidRDefault="003D5060" w:rsidP="003D5060">
      <w:pPr>
        <w:numPr>
          <w:ilvl w:val="1"/>
          <w:numId w:val="5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 xml:space="preserve">Dokumentację każdego dnia praktyk, tj. zakres wykonywanych czynności, nazwę i datę obsługiwanych koncertów, nazwy/modele wykorzystywanych przez studenta sprzętów, </w:t>
      </w:r>
    </w:p>
    <w:p w14:paraId="439123F9" w14:textId="6F8D7C85" w:rsidR="003D5060" w:rsidRDefault="003D5060" w:rsidP="003D5060">
      <w:pPr>
        <w:numPr>
          <w:ilvl w:val="1"/>
          <w:numId w:val="5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>Przy każdym dniu praktyk wpisaną datę i podpis opiekuna studenta z</w:t>
      </w:r>
      <w:r w:rsidR="000A4773">
        <w:rPr>
          <w:rFonts w:ascii="Arial" w:hAnsi="Arial" w:cs="Arial"/>
          <w:color w:val="000000"/>
          <w:sz w:val="24"/>
          <w:szCs w:val="24"/>
        </w:rPr>
        <w:t> </w:t>
      </w:r>
      <w:r w:rsidRPr="003D5060">
        <w:rPr>
          <w:rFonts w:ascii="Arial" w:hAnsi="Arial" w:cs="Arial"/>
          <w:color w:val="000000"/>
          <w:sz w:val="24"/>
          <w:szCs w:val="24"/>
        </w:rPr>
        <w:t xml:space="preserve">danego dnia </w:t>
      </w:r>
    </w:p>
    <w:p w14:paraId="4ACED84C" w14:textId="63C9D62C" w:rsidR="003D5060" w:rsidRDefault="003D5060" w:rsidP="003D506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>Po zakończeniu praktyk student powinien:</w:t>
      </w:r>
    </w:p>
    <w:p w14:paraId="59E02876" w14:textId="77777777" w:rsidR="003D5060" w:rsidRPr="003D5060" w:rsidRDefault="003D5060" w:rsidP="003D5060">
      <w:pPr>
        <w:numPr>
          <w:ilvl w:val="1"/>
          <w:numId w:val="53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 xml:space="preserve">dostarczyć na uczelnię opinię (wraz z oceną) o odbytej praktyce wystawioną przez opiekuna praktyk, </w:t>
      </w:r>
    </w:p>
    <w:p w14:paraId="077D2D08" w14:textId="68E8083B" w:rsidR="003D5060" w:rsidRPr="003D5060" w:rsidRDefault="003D5060" w:rsidP="003D5060">
      <w:pPr>
        <w:numPr>
          <w:ilvl w:val="1"/>
          <w:numId w:val="53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>dostarczyć na uczelnię poświadczony przez opiekuna dzienniczek praktyk, zawierający udokumentowany każdy dzień praktyk z</w:t>
      </w:r>
      <w:r w:rsidR="000A4773">
        <w:rPr>
          <w:rFonts w:ascii="Arial" w:hAnsi="Arial" w:cs="Arial"/>
          <w:color w:val="000000"/>
          <w:sz w:val="24"/>
          <w:szCs w:val="24"/>
        </w:rPr>
        <w:t> </w:t>
      </w:r>
      <w:bookmarkStart w:id="0" w:name="_GoBack"/>
      <w:bookmarkEnd w:id="0"/>
      <w:r w:rsidRPr="003D5060">
        <w:rPr>
          <w:rFonts w:ascii="Arial" w:hAnsi="Arial" w:cs="Arial"/>
          <w:color w:val="000000"/>
          <w:sz w:val="24"/>
          <w:szCs w:val="24"/>
        </w:rPr>
        <w:t xml:space="preserve">wyszczególnieniem wykonywanych codziennie czynności w miejscu praktyk </w:t>
      </w:r>
    </w:p>
    <w:p w14:paraId="217DE0C5" w14:textId="06D8F787" w:rsidR="003D5060" w:rsidRPr="003D5060" w:rsidRDefault="003D5060" w:rsidP="003D506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D5060">
        <w:rPr>
          <w:rFonts w:ascii="Arial" w:hAnsi="Arial" w:cs="Arial"/>
          <w:color w:val="000000"/>
          <w:sz w:val="24"/>
          <w:szCs w:val="24"/>
        </w:rPr>
        <w:t>O ocenie z praktyk decyduje w 50% ocena dzienniczka praktyk dokonywana przez pełnomocnika Dziekana ds. praktyk i w 50% ocena widniejąca w opinii pracodawcy (opiekuna praktyk w trakcie ich odbywania).</w:t>
      </w:r>
    </w:p>
    <w:p w14:paraId="636C2884" w14:textId="77777777" w:rsidR="003D5060" w:rsidRPr="003D5060" w:rsidRDefault="003D5060" w:rsidP="003D506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475B4032" w14:textId="77777777" w:rsidR="003D5060" w:rsidRPr="003D5060" w:rsidRDefault="003D5060" w:rsidP="003D506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3D5060" w:rsidRPr="003D50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9A565" w14:textId="77777777" w:rsidR="005D3515" w:rsidRDefault="005D3515" w:rsidP="00BB76D0">
      <w:pPr>
        <w:spacing w:after="0" w:line="240" w:lineRule="auto"/>
      </w:pPr>
      <w:r>
        <w:separator/>
      </w:r>
    </w:p>
  </w:endnote>
  <w:endnote w:type="continuationSeparator" w:id="0">
    <w:p w14:paraId="686895B4" w14:textId="77777777" w:rsidR="005D3515" w:rsidRDefault="005D3515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</w:rPr>
      <w:id w:val="17685690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F15ACA" w14:textId="4E332AE5" w:rsidR="00463AE9" w:rsidRPr="00BE73DD" w:rsidRDefault="00463AE9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</w:rPr>
        </w:pPr>
        <w:r w:rsidRPr="00BE73DD">
          <w:rPr>
            <w:rFonts w:ascii="Arial" w:hAnsi="Arial" w:cs="Arial"/>
            <w:i/>
          </w:rPr>
          <w:fldChar w:fldCharType="begin"/>
        </w:r>
        <w:r w:rsidRPr="00BE73DD">
          <w:rPr>
            <w:rFonts w:ascii="Arial" w:hAnsi="Arial" w:cs="Arial"/>
            <w:i/>
          </w:rPr>
          <w:instrText>PAGE   \* MERGEFORMAT</w:instrText>
        </w:r>
        <w:r w:rsidRPr="00BE73DD">
          <w:rPr>
            <w:rFonts w:ascii="Arial" w:hAnsi="Arial" w:cs="Arial"/>
            <w:i/>
          </w:rPr>
          <w:fldChar w:fldCharType="separate"/>
        </w:r>
        <w:r w:rsidR="005D264E" w:rsidRPr="005D264E">
          <w:rPr>
            <w:rFonts w:ascii="Arial" w:hAnsi="Arial" w:cs="Arial"/>
            <w:b/>
            <w:bCs/>
            <w:i/>
            <w:noProof/>
          </w:rPr>
          <w:t>19</w:t>
        </w:r>
        <w:r w:rsidRPr="00BE73DD">
          <w:rPr>
            <w:rFonts w:ascii="Arial" w:hAnsi="Arial" w:cs="Arial"/>
            <w:b/>
            <w:bCs/>
            <w:i/>
          </w:rPr>
          <w:fldChar w:fldCharType="end"/>
        </w:r>
        <w:r w:rsidRPr="00BE73DD">
          <w:rPr>
            <w:rFonts w:ascii="Arial" w:hAnsi="Arial" w:cs="Arial"/>
            <w:b/>
            <w:bCs/>
            <w:i/>
          </w:rPr>
          <w:t xml:space="preserve"> | </w:t>
        </w:r>
        <w:r w:rsidRPr="00BE73DD">
          <w:rPr>
            <w:rFonts w:ascii="Arial" w:hAnsi="Arial" w:cs="Arial"/>
            <w:i/>
            <w:spacing w:val="60"/>
          </w:rPr>
          <w:t>Strona</w:t>
        </w:r>
      </w:p>
    </w:sdtContent>
  </w:sdt>
  <w:p w14:paraId="0FF6BF9F" w14:textId="77777777" w:rsidR="00463AE9" w:rsidRDefault="0046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F3BD8" w14:textId="77777777" w:rsidR="005D3515" w:rsidRDefault="005D3515" w:rsidP="00BB76D0">
      <w:pPr>
        <w:spacing w:after="0" w:line="240" w:lineRule="auto"/>
      </w:pPr>
      <w:r>
        <w:separator/>
      </w:r>
    </w:p>
  </w:footnote>
  <w:footnote w:type="continuationSeparator" w:id="0">
    <w:p w14:paraId="3122725B" w14:textId="77777777" w:rsidR="005D3515" w:rsidRDefault="005D3515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63AE9" w:rsidRPr="00BA0AF0" w14:paraId="49226C16" w14:textId="77777777" w:rsidTr="00BB76D0">
      <w:tc>
        <w:tcPr>
          <w:tcW w:w="9062" w:type="dxa"/>
        </w:tcPr>
        <w:p w14:paraId="5B9047E1" w14:textId="3CEEB946" w:rsidR="00463AE9" w:rsidRPr="00BA0AF0" w:rsidRDefault="003D5060" w:rsidP="00463AE9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3D5060">
            <w:rPr>
              <w:rFonts w:ascii="Arial" w:hAnsi="Arial" w:cs="Arial"/>
              <w:i/>
              <w:sz w:val="20"/>
            </w:rPr>
            <w:t>Załącznik nr 11 do Regulaminu obowiązkowych studenckich praktyk zawodowych dla kierunku Akustyka i Reżyseria Dźwięku na Wydziale Fizyki UAM w Poznaniu – Szczegółowy regulamin praktyk nagłośnieniowych na kierunku studiów Reżyseria Dźwięku (studia stacjonarne</w:t>
          </w:r>
          <w:r>
            <w:rPr>
              <w:rFonts w:ascii="Arial" w:hAnsi="Arial" w:cs="Arial"/>
              <w:i/>
              <w:sz w:val="20"/>
            </w:rPr>
            <w:t>)</w:t>
          </w:r>
        </w:p>
      </w:tc>
    </w:tr>
  </w:tbl>
  <w:p w14:paraId="489970AB" w14:textId="77777777" w:rsidR="00463AE9" w:rsidRDefault="0046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7DD"/>
    <w:multiLevelType w:val="hybridMultilevel"/>
    <w:tmpl w:val="388CDB56"/>
    <w:lvl w:ilvl="0" w:tplc="AA448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890"/>
    <w:multiLevelType w:val="hybridMultilevel"/>
    <w:tmpl w:val="3AAAE48E"/>
    <w:lvl w:ilvl="0" w:tplc="1532A7A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4AC"/>
    <w:multiLevelType w:val="hybridMultilevel"/>
    <w:tmpl w:val="66C614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54B"/>
    <w:multiLevelType w:val="hybridMultilevel"/>
    <w:tmpl w:val="4728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B4E4B"/>
    <w:multiLevelType w:val="hybridMultilevel"/>
    <w:tmpl w:val="A8B6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84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614D6"/>
    <w:multiLevelType w:val="hybridMultilevel"/>
    <w:tmpl w:val="22AEC886"/>
    <w:lvl w:ilvl="0" w:tplc="8D7E92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1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D8E3D71"/>
    <w:multiLevelType w:val="hybridMultilevel"/>
    <w:tmpl w:val="3F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8EAF1"/>
    <w:multiLevelType w:val="hybridMultilevel"/>
    <w:tmpl w:val="935FFF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1DD0842"/>
    <w:multiLevelType w:val="hybridMultilevel"/>
    <w:tmpl w:val="B4187480"/>
    <w:lvl w:ilvl="0" w:tplc="6D9ED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EA50A61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274A4B"/>
    <w:multiLevelType w:val="hybridMultilevel"/>
    <w:tmpl w:val="EB502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E007A"/>
    <w:multiLevelType w:val="hybridMultilevel"/>
    <w:tmpl w:val="88885FFC"/>
    <w:lvl w:ilvl="0" w:tplc="DDEE7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473DE"/>
    <w:multiLevelType w:val="hybridMultilevel"/>
    <w:tmpl w:val="85A20A8C"/>
    <w:lvl w:ilvl="0" w:tplc="0534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351BE5"/>
    <w:multiLevelType w:val="multilevel"/>
    <w:tmpl w:val="C018F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AFD1E5C"/>
    <w:multiLevelType w:val="hybridMultilevel"/>
    <w:tmpl w:val="A7DC1FE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F386AA1"/>
    <w:multiLevelType w:val="hybridMultilevel"/>
    <w:tmpl w:val="D0D61F56"/>
    <w:lvl w:ilvl="0" w:tplc="1532A7A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0B75"/>
    <w:multiLevelType w:val="hybridMultilevel"/>
    <w:tmpl w:val="E39C8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12A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97C92"/>
    <w:multiLevelType w:val="hybridMultilevel"/>
    <w:tmpl w:val="70C00B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05AB9"/>
    <w:multiLevelType w:val="hybridMultilevel"/>
    <w:tmpl w:val="6F90716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84D3943"/>
    <w:multiLevelType w:val="hybridMultilevel"/>
    <w:tmpl w:val="D8D04784"/>
    <w:lvl w:ilvl="0" w:tplc="20DC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9FF60FA"/>
    <w:multiLevelType w:val="hybridMultilevel"/>
    <w:tmpl w:val="2C146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B306E"/>
    <w:multiLevelType w:val="hybridMultilevel"/>
    <w:tmpl w:val="2DF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D286D"/>
    <w:multiLevelType w:val="hybridMultilevel"/>
    <w:tmpl w:val="47342DA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26F7C"/>
    <w:multiLevelType w:val="multilevel"/>
    <w:tmpl w:val="B9743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606EB6"/>
    <w:multiLevelType w:val="hybridMultilevel"/>
    <w:tmpl w:val="FA4A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D4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7EA3A79"/>
    <w:multiLevelType w:val="hybridMultilevel"/>
    <w:tmpl w:val="FD66E660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B3E80"/>
    <w:multiLevelType w:val="hybridMultilevel"/>
    <w:tmpl w:val="046A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E62A7"/>
    <w:multiLevelType w:val="hybridMultilevel"/>
    <w:tmpl w:val="EFC870E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D7C0F89"/>
    <w:multiLevelType w:val="hybridMultilevel"/>
    <w:tmpl w:val="41A8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476AAE"/>
    <w:multiLevelType w:val="hybridMultilevel"/>
    <w:tmpl w:val="734C8704"/>
    <w:lvl w:ilvl="0" w:tplc="1532A7A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64972"/>
    <w:multiLevelType w:val="hybridMultilevel"/>
    <w:tmpl w:val="B64E46B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552CE7"/>
    <w:multiLevelType w:val="hybridMultilevel"/>
    <w:tmpl w:val="060C4C64"/>
    <w:lvl w:ilvl="0" w:tplc="9384D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ED322C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4FA68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6AA2699"/>
    <w:multiLevelType w:val="hybridMultilevel"/>
    <w:tmpl w:val="D1AA046C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75E3C"/>
    <w:multiLevelType w:val="hybridMultilevel"/>
    <w:tmpl w:val="DB7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5FF5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CE208BB"/>
    <w:multiLevelType w:val="hybridMultilevel"/>
    <w:tmpl w:val="188AB70E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CEC1F06"/>
    <w:multiLevelType w:val="hybridMultilevel"/>
    <w:tmpl w:val="A9EA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1495F"/>
    <w:multiLevelType w:val="hybridMultilevel"/>
    <w:tmpl w:val="471C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56708"/>
    <w:multiLevelType w:val="multilevel"/>
    <w:tmpl w:val="BFA487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3E64A2B"/>
    <w:multiLevelType w:val="hybridMultilevel"/>
    <w:tmpl w:val="34D64A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5AD6FD0"/>
    <w:multiLevelType w:val="hybridMultilevel"/>
    <w:tmpl w:val="842858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67A12AB"/>
    <w:multiLevelType w:val="hybridMultilevel"/>
    <w:tmpl w:val="F8E6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C473BB8"/>
    <w:multiLevelType w:val="hybridMultilevel"/>
    <w:tmpl w:val="7F44D436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124E7"/>
    <w:multiLevelType w:val="hybridMultilevel"/>
    <w:tmpl w:val="CA26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8E4D5B"/>
    <w:multiLevelType w:val="hybridMultilevel"/>
    <w:tmpl w:val="2BD2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5E6B7"/>
    <w:multiLevelType w:val="hybridMultilevel"/>
    <w:tmpl w:val="22D551D1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2880CFE"/>
    <w:multiLevelType w:val="hybridMultilevel"/>
    <w:tmpl w:val="445E23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4930B61"/>
    <w:multiLevelType w:val="hybridMultilevel"/>
    <w:tmpl w:val="71D0B7C8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76544114"/>
    <w:multiLevelType w:val="hybridMultilevel"/>
    <w:tmpl w:val="DCB6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4531F2"/>
    <w:multiLevelType w:val="hybridMultilevel"/>
    <w:tmpl w:val="D346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27E86"/>
    <w:multiLevelType w:val="hybridMultilevel"/>
    <w:tmpl w:val="3F62E9F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28"/>
  </w:num>
  <w:num w:numId="5">
    <w:abstractNumId w:val="46"/>
  </w:num>
  <w:num w:numId="6">
    <w:abstractNumId w:val="29"/>
  </w:num>
  <w:num w:numId="7">
    <w:abstractNumId w:val="48"/>
  </w:num>
  <w:num w:numId="8">
    <w:abstractNumId w:val="50"/>
  </w:num>
  <w:num w:numId="9">
    <w:abstractNumId w:val="51"/>
  </w:num>
  <w:num w:numId="10">
    <w:abstractNumId w:val="49"/>
  </w:num>
  <w:num w:numId="11">
    <w:abstractNumId w:val="39"/>
  </w:num>
  <w:num w:numId="12">
    <w:abstractNumId w:val="16"/>
  </w:num>
  <w:num w:numId="13">
    <w:abstractNumId w:val="37"/>
  </w:num>
  <w:num w:numId="14">
    <w:abstractNumId w:val="18"/>
  </w:num>
  <w:num w:numId="15">
    <w:abstractNumId w:val="12"/>
  </w:num>
  <w:num w:numId="16">
    <w:abstractNumId w:val="4"/>
  </w:num>
  <w:num w:numId="17">
    <w:abstractNumId w:val="19"/>
  </w:num>
  <w:num w:numId="18">
    <w:abstractNumId w:val="11"/>
  </w:num>
  <w:num w:numId="19">
    <w:abstractNumId w:val="43"/>
  </w:num>
  <w:num w:numId="20">
    <w:abstractNumId w:val="32"/>
  </w:num>
  <w:num w:numId="21">
    <w:abstractNumId w:val="10"/>
  </w:num>
  <w:num w:numId="22">
    <w:abstractNumId w:val="9"/>
  </w:num>
  <w:num w:numId="23">
    <w:abstractNumId w:val="35"/>
  </w:num>
  <w:num w:numId="24">
    <w:abstractNumId w:val="38"/>
  </w:num>
  <w:num w:numId="25">
    <w:abstractNumId w:val="27"/>
  </w:num>
  <w:num w:numId="26">
    <w:abstractNumId w:val="24"/>
  </w:num>
  <w:num w:numId="27">
    <w:abstractNumId w:val="3"/>
  </w:num>
  <w:num w:numId="28">
    <w:abstractNumId w:val="52"/>
  </w:num>
  <w:num w:numId="29">
    <w:abstractNumId w:val="31"/>
  </w:num>
  <w:num w:numId="30">
    <w:abstractNumId w:val="2"/>
  </w:num>
  <w:num w:numId="31">
    <w:abstractNumId w:val="44"/>
  </w:num>
  <w:num w:numId="32">
    <w:abstractNumId w:val="17"/>
  </w:num>
  <w:num w:numId="33">
    <w:abstractNumId w:val="21"/>
  </w:num>
  <w:num w:numId="34">
    <w:abstractNumId w:val="22"/>
  </w:num>
  <w:num w:numId="35">
    <w:abstractNumId w:val="26"/>
  </w:num>
  <w:num w:numId="36">
    <w:abstractNumId w:val="34"/>
  </w:num>
  <w:num w:numId="37">
    <w:abstractNumId w:val="6"/>
  </w:num>
  <w:num w:numId="38">
    <w:abstractNumId w:val="33"/>
  </w:num>
  <w:num w:numId="39">
    <w:abstractNumId w:val="25"/>
  </w:num>
  <w:num w:numId="40">
    <w:abstractNumId w:val="36"/>
  </w:num>
  <w:num w:numId="41">
    <w:abstractNumId w:val="23"/>
  </w:num>
  <w:num w:numId="42">
    <w:abstractNumId w:val="13"/>
  </w:num>
  <w:num w:numId="43">
    <w:abstractNumId w:val="40"/>
  </w:num>
  <w:num w:numId="44">
    <w:abstractNumId w:val="47"/>
  </w:num>
  <w:num w:numId="45">
    <w:abstractNumId w:val="8"/>
  </w:num>
  <w:num w:numId="46">
    <w:abstractNumId w:val="30"/>
  </w:num>
  <w:num w:numId="47">
    <w:abstractNumId w:val="0"/>
  </w:num>
  <w:num w:numId="48">
    <w:abstractNumId w:val="45"/>
  </w:num>
  <w:num w:numId="49">
    <w:abstractNumId w:val="41"/>
  </w:num>
  <w:num w:numId="50">
    <w:abstractNumId w:val="42"/>
  </w:num>
  <w:num w:numId="51">
    <w:abstractNumId w:val="5"/>
  </w:num>
  <w:num w:numId="52">
    <w:abstractNumId w:val="1"/>
  </w:num>
  <w:num w:numId="5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4"/>
    <w:rsid w:val="00000724"/>
    <w:rsid w:val="000141CE"/>
    <w:rsid w:val="000428CB"/>
    <w:rsid w:val="00051566"/>
    <w:rsid w:val="000770A6"/>
    <w:rsid w:val="0009094A"/>
    <w:rsid w:val="000A032D"/>
    <w:rsid w:val="000A4773"/>
    <w:rsid w:val="000C26C5"/>
    <w:rsid w:val="000C7F4A"/>
    <w:rsid w:val="000E2397"/>
    <w:rsid w:val="000E7113"/>
    <w:rsid w:val="000F2485"/>
    <w:rsid w:val="000F79E3"/>
    <w:rsid w:val="00125300"/>
    <w:rsid w:val="00140345"/>
    <w:rsid w:val="00163769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C24A5"/>
    <w:rsid w:val="001E0905"/>
    <w:rsid w:val="001E2533"/>
    <w:rsid w:val="00200086"/>
    <w:rsid w:val="002048DC"/>
    <w:rsid w:val="002236D5"/>
    <w:rsid w:val="002A2097"/>
    <w:rsid w:val="002A78D7"/>
    <w:rsid w:val="002D547F"/>
    <w:rsid w:val="002E1CBD"/>
    <w:rsid w:val="002F7356"/>
    <w:rsid w:val="00311975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C65E0"/>
    <w:rsid w:val="003D1DBF"/>
    <w:rsid w:val="003D37BC"/>
    <w:rsid w:val="003D5060"/>
    <w:rsid w:val="003E767D"/>
    <w:rsid w:val="0041100E"/>
    <w:rsid w:val="00417132"/>
    <w:rsid w:val="00443ADF"/>
    <w:rsid w:val="0044406C"/>
    <w:rsid w:val="00445C8A"/>
    <w:rsid w:val="004607BF"/>
    <w:rsid w:val="00463AE9"/>
    <w:rsid w:val="00473B34"/>
    <w:rsid w:val="00476523"/>
    <w:rsid w:val="00476CB3"/>
    <w:rsid w:val="00480369"/>
    <w:rsid w:val="004A2033"/>
    <w:rsid w:val="004A5618"/>
    <w:rsid w:val="004D493D"/>
    <w:rsid w:val="004E2CD8"/>
    <w:rsid w:val="00512C72"/>
    <w:rsid w:val="00517882"/>
    <w:rsid w:val="005361B0"/>
    <w:rsid w:val="00554C7C"/>
    <w:rsid w:val="00555CEC"/>
    <w:rsid w:val="005560FB"/>
    <w:rsid w:val="00557204"/>
    <w:rsid w:val="005B43E7"/>
    <w:rsid w:val="005C0CAE"/>
    <w:rsid w:val="005D264E"/>
    <w:rsid w:val="005D3515"/>
    <w:rsid w:val="005D41F1"/>
    <w:rsid w:val="005F2EA7"/>
    <w:rsid w:val="00607A78"/>
    <w:rsid w:val="0063410F"/>
    <w:rsid w:val="006362A2"/>
    <w:rsid w:val="006771BD"/>
    <w:rsid w:val="006776F9"/>
    <w:rsid w:val="00687802"/>
    <w:rsid w:val="00690DEB"/>
    <w:rsid w:val="006B4FFA"/>
    <w:rsid w:val="006C6F54"/>
    <w:rsid w:val="006E4F75"/>
    <w:rsid w:val="007002AD"/>
    <w:rsid w:val="00744802"/>
    <w:rsid w:val="0074564D"/>
    <w:rsid w:val="007676F5"/>
    <w:rsid w:val="007B356E"/>
    <w:rsid w:val="007C2C36"/>
    <w:rsid w:val="007D0763"/>
    <w:rsid w:val="007D5327"/>
    <w:rsid w:val="007E3A5A"/>
    <w:rsid w:val="007E4C75"/>
    <w:rsid w:val="007F65D0"/>
    <w:rsid w:val="00805AB6"/>
    <w:rsid w:val="008221E8"/>
    <w:rsid w:val="008256FB"/>
    <w:rsid w:val="00826A20"/>
    <w:rsid w:val="008551D9"/>
    <w:rsid w:val="00856327"/>
    <w:rsid w:val="00865845"/>
    <w:rsid w:val="00882B50"/>
    <w:rsid w:val="008F42F2"/>
    <w:rsid w:val="008F5877"/>
    <w:rsid w:val="008F601F"/>
    <w:rsid w:val="00916DBA"/>
    <w:rsid w:val="00921D1A"/>
    <w:rsid w:val="00922610"/>
    <w:rsid w:val="00941AD7"/>
    <w:rsid w:val="00946778"/>
    <w:rsid w:val="00946F8D"/>
    <w:rsid w:val="00953404"/>
    <w:rsid w:val="009572A5"/>
    <w:rsid w:val="0096453B"/>
    <w:rsid w:val="0096624E"/>
    <w:rsid w:val="00972C1B"/>
    <w:rsid w:val="009764C8"/>
    <w:rsid w:val="009833AE"/>
    <w:rsid w:val="00984016"/>
    <w:rsid w:val="00992289"/>
    <w:rsid w:val="00992931"/>
    <w:rsid w:val="009B0D39"/>
    <w:rsid w:val="009B3D16"/>
    <w:rsid w:val="009B6D6F"/>
    <w:rsid w:val="009D1433"/>
    <w:rsid w:val="009E6999"/>
    <w:rsid w:val="009F5EF1"/>
    <w:rsid w:val="00A12787"/>
    <w:rsid w:val="00A360BB"/>
    <w:rsid w:val="00A81F1F"/>
    <w:rsid w:val="00AA5339"/>
    <w:rsid w:val="00AA7903"/>
    <w:rsid w:val="00B22805"/>
    <w:rsid w:val="00B23F2E"/>
    <w:rsid w:val="00B34CC7"/>
    <w:rsid w:val="00B46D47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37202"/>
    <w:rsid w:val="00C5134C"/>
    <w:rsid w:val="00C53B8D"/>
    <w:rsid w:val="00C77402"/>
    <w:rsid w:val="00C919D6"/>
    <w:rsid w:val="00CA190B"/>
    <w:rsid w:val="00CD0284"/>
    <w:rsid w:val="00CD67AB"/>
    <w:rsid w:val="00CE6221"/>
    <w:rsid w:val="00CF6BA6"/>
    <w:rsid w:val="00D00B95"/>
    <w:rsid w:val="00D47833"/>
    <w:rsid w:val="00D47B30"/>
    <w:rsid w:val="00D9215C"/>
    <w:rsid w:val="00DB3A42"/>
    <w:rsid w:val="00DD4248"/>
    <w:rsid w:val="00DF2C5D"/>
    <w:rsid w:val="00E00CD3"/>
    <w:rsid w:val="00E3131C"/>
    <w:rsid w:val="00E4236F"/>
    <w:rsid w:val="00E46A1A"/>
    <w:rsid w:val="00E512E1"/>
    <w:rsid w:val="00E54413"/>
    <w:rsid w:val="00E55217"/>
    <w:rsid w:val="00E63D11"/>
    <w:rsid w:val="00E714E2"/>
    <w:rsid w:val="00E8114C"/>
    <w:rsid w:val="00E81155"/>
    <w:rsid w:val="00E90983"/>
    <w:rsid w:val="00E946B6"/>
    <w:rsid w:val="00EB5BF5"/>
    <w:rsid w:val="00EC2051"/>
    <w:rsid w:val="00EF06C7"/>
    <w:rsid w:val="00EF5FEA"/>
    <w:rsid w:val="00F13F7F"/>
    <w:rsid w:val="00F16AAE"/>
    <w:rsid w:val="00F2484A"/>
    <w:rsid w:val="00F45BC6"/>
    <w:rsid w:val="00F72C94"/>
    <w:rsid w:val="00F83D13"/>
    <w:rsid w:val="00FA0C33"/>
    <w:rsid w:val="00FC1555"/>
    <w:rsid w:val="00FC354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73B3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41DD-9E0B-4C9B-A6A3-835C9794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Roman Gołębiewski</cp:lastModifiedBy>
  <cp:revision>3</cp:revision>
  <cp:lastPrinted>2023-03-07T16:24:00Z</cp:lastPrinted>
  <dcterms:created xsi:type="dcterms:W3CDTF">2023-04-06T22:46:00Z</dcterms:created>
  <dcterms:modified xsi:type="dcterms:W3CDTF">2023-04-07T19:08:00Z</dcterms:modified>
</cp:coreProperties>
</file>